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7F40C">
      <w:pPr>
        <w:pStyle w:val="2"/>
        <w:widowControl w:val="0"/>
        <w:spacing w:before="100" w:after="0" w:line="360" w:lineRule="auto"/>
        <w:jc w:val="both"/>
        <w:rPr>
          <w:rFonts w:ascii="Times New Roman" w:hAnsi="Times New Roman" w:eastAsia="宋体" w:cs="Times New Roman"/>
          <w:kern w:val="2"/>
          <w:sz w:val="28"/>
          <w:highlight w:val="none"/>
        </w:rPr>
      </w:pPr>
      <w:bookmarkStart w:id="0" w:name="_Toc7920"/>
      <w:bookmarkStart w:id="1" w:name="_Toc20718"/>
      <w:bookmarkStart w:id="2" w:name="_Toc11307"/>
      <w:r>
        <w:rPr>
          <w:rFonts w:ascii="Times New Roman" w:hAnsi="Times New Roman" w:eastAsia="宋体" w:cs="Times New Roman"/>
          <w:kern w:val="2"/>
          <w:sz w:val="28"/>
          <w:highlight w:val="none"/>
        </w:rPr>
        <w:t>附件</w:t>
      </w:r>
      <w:r>
        <w:rPr>
          <w:rFonts w:hint="eastAsia" w:ascii="Times New Roman" w:hAnsi="Times New Roman" w:eastAsia="宋体" w:cs="Times New Roman"/>
          <w:kern w:val="2"/>
          <w:sz w:val="28"/>
          <w:highlight w:val="none"/>
        </w:rPr>
        <w:t>1</w:t>
      </w:r>
      <w:r>
        <w:rPr>
          <w:rFonts w:ascii="Times New Roman" w:hAnsi="Times New Roman" w:eastAsia="宋体" w:cs="Times New Roman"/>
          <w:kern w:val="2"/>
          <w:sz w:val="28"/>
          <w:highlight w:val="none"/>
        </w:rPr>
        <w:t>：</w:t>
      </w:r>
      <w:r>
        <w:rPr>
          <w:rFonts w:hint="eastAsia" w:ascii="Times New Roman" w:hAnsi="Times New Roman" w:eastAsia="宋体" w:cs="Times New Roman"/>
          <w:kern w:val="2"/>
          <w:sz w:val="28"/>
          <w:highlight w:val="none"/>
        </w:rPr>
        <w:t>招标公告附表</w:t>
      </w:r>
      <w:bookmarkEnd w:id="0"/>
      <w:bookmarkEnd w:id="1"/>
      <w:bookmarkEnd w:id="2"/>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808"/>
        <w:gridCol w:w="994"/>
        <w:gridCol w:w="1151"/>
        <w:gridCol w:w="725"/>
        <w:gridCol w:w="633"/>
        <w:gridCol w:w="577"/>
        <w:gridCol w:w="4604"/>
        <w:gridCol w:w="984"/>
        <w:gridCol w:w="1132"/>
        <w:gridCol w:w="863"/>
        <w:gridCol w:w="647"/>
        <w:gridCol w:w="360"/>
      </w:tblGrid>
      <w:tr w14:paraId="70B3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86F1">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序号</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C38D">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包件号</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2548">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包件名称</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E535">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物资设备名称</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F509">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规格型号</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3CF7">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计量单位</w:t>
            </w:r>
          </w:p>
        </w:tc>
        <w:tc>
          <w:tcPr>
            <w:tcW w:w="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039D">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数量</w:t>
            </w:r>
          </w:p>
        </w:tc>
        <w:tc>
          <w:tcPr>
            <w:tcW w:w="1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B639">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资格条件</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73005">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交货时间</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1E1E">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交货地点</w:t>
            </w:r>
          </w:p>
        </w:tc>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2D6F">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交货条件及状态</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0F17">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收货单位</w:t>
            </w:r>
          </w:p>
        </w:tc>
        <w:tc>
          <w:tcPr>
            <w:tcW w:w="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0F72">
            <w:pPr>
              <w:keepNext w:val="0"/>
              <w:keepLines w:val="0"/>
              <w:widowControl/>
              <w:suppressLineNumbers w:val="0"/>
              <w:jc w:val="center"/>
              <w:textAlignment w:val="center"/>
              <w:rPr>
                <w:rFonts w:hint="eastAsia" w:ascii="宋体" w:hAnsi="宋体" w:eastAsia="宋体" w:cs="宋体"/>
                <w:b/>
                <w:bCs/>
                <w:i w:val="0"/>
                <w:iCs w:val="0"/>
                <w:color w:val="000000"/>
                <w:sz w:val="16"/>
                <w:szCs w:val="16"/>
                <w:highlight w:val="none"/>
                <w:u w:val="none"/>
              </w:rPr>
            </w:pPr>
            <w:r>
              <w:rPr>
                <w:rFonts w:hint="eastAsia" w:ascii="宋体" w:hAnsi="宋体" w:eastAsia="宋体" w:cs="宋体"/>
                <w:b/>
                <w:bCs/>
                <w:i w:val="0"/>
                <w:iCs w:val="0"/>
                <w:color w:val="000000"/>
                <w:kern w:val="0"/>
                <w:sz w:val="16"/>
                <w:szCs w:val="16"/>
                <w:highlight w:val="none"/>
                <w:u w:val="none"/>
                <w:lang w:val="en-US" w:eastAsia="zh-CN" w:bidi="ar"/>
              </w:rPr>
              <w:t>备注</w:t>
            </w:r>
          </w:p>
        </w:tc>
      </w:tr>
      <w:tr w14:paraId="21733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F557">
            <w:pPr>
              <w:keepNext w:val="0"/>
              <w:keepLines w:val="0"/>
              <w:widowControl/>
              <w:suppressLineNumbers w:val="0"/>
              <w:jc w:val="center"/>
              <w:textAlignment w:val="center"/>
              <w:rPr>
                <w:rFonts w:hint="default" w:ascii="宋体" w:hAnsi="宋体" w:eastAsia="宋体" w:cs="宋体"/>
                <w:b/>
                <w:bCs/>
                <w:i w:val="0"/>
                <w:iCs w:val="0"/>
                <w:color w:val="000000"/>
                <w:kern w:val="0"/>
                <w:sz w:val="16"/>
                <w:szCs w:val="16"/>
                <w:highlight w:val="none"/>
                <w:u w:val="none"/>
                <w:lang w:val="en-US" w:eastAsia="zh-CN" w:bidi="ar"/>
              </w:rPr>
            </w:pPr>
            <w:r>
              <w:rPr>
                <w:rFonts w:hint="eastAsia" w:ascii="宋体" w:hAnsi="宋体" w:cs="宋体"/>
                <w:b/>
                <w:bCs/>
                <w:i w:val="0"/>
                <w:iCs w:val="0"/>
                <w:color w:val="000000"/>
                <w:kern w:val="0"/>
                <w:sz w:val="16"/>
                <w:szCs w:val="16"/>
                <w:highlight w:val="none"/>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AF0F">
            <w:pPr>
              <w:keepNext w:val="0"/>
              <w:keepLines w:val="0"/>
              <w:widowControl/>
              <w:suppressLineNumbers w:val="0"/>
              <w:jc w:val="center"/>
              <w:textAlignment w:val="center"/>
              <w:rPr>
                <w:rFonts w:hint="default"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JC02</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FCC7">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接触网检测监测装置</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519E">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接触网悬挂状态检测装置</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3779">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lang w:val="en-US" w:eastAsia="zh-CN"/>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DEB0">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套</w:t>
            </w:r>
          </w:p>
        </w:tc>
        <w:tc>
          <w:tcPr>
            <w:tcW w:w="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1301">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2</w:t>
            </w:r>
          </w:p>
        </w:tc>
        <w:tc>
          <w:tcPr>
            <w:tcW w:w="1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0C3E">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1.在中华人民共和国境内依法注册，具有法人资格的制造商；</w:t>
            </w:r>
          </w:p>
          <w:p w14:paraId="6F665C2C">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2.投标人须提供近3年(2022年-2024年)内任意一年经会计师事务所或审计机构审计的符合国家规定的财务会计报表；</w:t>
            </w:r>
          </w:p>
          <w:p w14:paraId="71ADCB70">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3.投标人须提供接触网悬挂状态检测装置(4C)近五年（自2021年7月至递交报价文件截止日，以合同签订时间为准）的铁路供货业绩；须提供对应的中标通知书、合同协议书、进场验收证书（验收文件或对应的用户使用证明）；</w:t>
            </w:r>
          </w:p>
          <w:p w14:paraId="361CF840">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lang w:val="en-US" w:eastAsia="zh-CN"/>
              </w:rPr>
            </w:pPr>
            <w:r>
              <w:rPr>
                <w:rFonts w:hint="eastAsia" w:ascii="宋体" w:hAnsi="宋体" w:eastAsia="宋体" w:cs="宋体"/>
                <w:i w:val="0"/>
                <w:iCs w:val="0"/>
                <w:color w:val="000000"/>
                <w:sz w:val="16"/>
                <w:szCs w:val="16"/>
                <w:highlight w:val="none"/>
                <w:u w:val="none"/>
                <w:lang w:val="en-US" w:eastAsia="zh-CN"/>
              </w:rPr>
              <w:t>4.不接受联合体及授权制造商（OEM）产品投标。</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B6EFF">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highlight w:val="none"/>
                <w:u w:val="none"/>
                <w:lang w:val="en-US" w:eastAsia="zh-CN" w:bidi="ar"/>
              </w:rPr>
            </w:pPr>
            <w:r>
              <w:rPr>
                <w:rFonts w:hint="eastAsia" w:ascii="宋体" w:hAnsi="宋体" w:eastAsia="宋体" w:cs="宋体"/>
                <w:i w:val="0"/>
                <w:iCs w:val="0"/>
                <w:color w:val="000000"/>
                <w:sz w:val="16"/>
                <w:szCs w:val="16"/>
                <w:highlight w:val="none"/>
                <w:u w:val="none"/>
              </w:rPr>
              <w:t>2026年7月至工程结束</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EBDD">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highlight w:val="none"/>
                <w:u w:val="none"/>
                <w:lang w:val="en-US" w:eastAsia="zh-CN" w:bidi="ar"/>
              </w:rPr>
            </w:pPr>
            <w:r>
              <w:rPr>
                <w:rFonts w:hint="eastAsia" w:ascii="宋体" w:hAnsi="宋体" w:eastAsia="宋体" w:cs="宋体"/>
                <w:i w:val="0"/>
                <w:iCs w:val="0"/>
                <w:color w:val="000000"/>
                <w:sz w:val="16"/>
                <w:szCs w:val="16"/>
                <w:highlight w:val="none"/>
                <w:u w:val="none"/>
              </w:rPr>
              <w:t>施工现场</w:t>
            </w:r>
          </w:p>
        </w:tc>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939B">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highlight w:val="none"/>
                <w:u w:val="none"/>
                <w:lang w:val="en-US" w:eastAsia="zh-CN" w:bidi="ar"/>
              </w:rPr>
            </w:pPr>
            <w:r>
              <w:rPr>
                <w:rFonts w:hint="eastAsia" w:ascii="宋体" w:hAnsi="宋体" w:eastAsia="宋体" w:cs="宋体"/>
                <w:i w:val="0"/>
                <w:iCs w:val="0"/>
                <w:color w:val="000000"/>
                <w:sz w:val="16"/>
                <w:szCs w:val="16"/>
                <w:highlight w:val="none"/>
                <w:u w:val="none"/>
              </w:rPr>
              <w:t>完好</w:t>
            </w:r>
            <w:r>
              <w:rPr>
                <w:rFonts w:hint="eastAsia" w:ascii="宋体" w:hAnsi="宋体" w:cs="宋体"/>
                <w:i w:val="0"/>
                <w:iCs w:val="0"/>
                <w:color w:val="000000"/>
                <w:sz w:val="16"/>
                <w:szCs w:val="16"/>
                <w:highlight w:val="none"/>
                <w:u w:val="none"/>
                <w:lang w:eastAsia="zh-CN"/>
              </w:rPr>
              <w:t>、安装调试验收</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240E">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highlight w:val="none"/>
                <w:u w:val="none"/>
                <w:lang w:val="en-US" w:eastAsia="zh-CN" w:bidi="ar"/>
              </w:rPr>
            </w:pPr>
            <w:r>
              <w:rPr>
                <w:rFonts w:hint="eastAsia" w:ascii="宋体" w:hAnsi="宋体" w:eastAsia="宋体" w:cs="宋体"/>
                <w:i w:val="0"/>
                <w:iCs w:val="0"/>
                <w:color w:val="000000"/>
                <w:sz w:val="16"/>
                <w:szCs w:val="16"/>
                <w:highlight w:val="none"/>
                <w:u w:val="none"/>
              </w:rPr>
              <w:t>中铁电气化局</w:t>
            </w:r>
          </w:p>
        </w:tc>
        <w:tc>
          <w:tcPr>
            <w:tcW w:w="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C8A7">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highlight w:val="none"/>
                <w:u w:val="none"/>
                <w:lang w:val="en-US" w:eastAsia="zh-CN" w:bidi="ar"/>
              </w:rPr>
            </w:pPr>
          </w:p>
        </w:tc>
      </w:tr>
    </w:tbl>
    <w:p w14:paraId="2F5C4927">
      <w:pPr>
        <w:pStyle w:val="4"/>
        <w:rPr>
          <w:highlight w:val="none"/>
        </w:rPr>
      </w:pPr>
    </w:p>
    <w:p w14:paraId="2CD455C2">
      <w:pPr>
        <w:pStyle w:val="3"/>
        <w:rPr>
          <w:highlight w:val="none"/>
        </w:rPr>
      </w:pPr>
    </w:p>
    <w:p w14:paraId="3014859C">
      <w:pPr>
        <w:pStyle w:val="3"/>
        <w:rPr>
          <w:highlight w:val="none"/>
        </w:rPr>
        <w:sectPr>
          <w:footerReference r:id="rId6" w:type="first"/>
          <w:footerReference r:id="rId5" w:type="default"/>
          <w:pgSz w:w="16838" w:h="11906" w:orient="landscape"/>
          <w:pgMar w:top="1080" w:right="1440" w:bottom="1080" w:left="1440" w:header="851" w:footer="992" w:gutter="0"/>
          <w:pgNumType w:fmt="decimal"/>
          <w:cols w:space="425" w:num="1"/>
          <w:docGrid w:linePitch="312" w:charSpace="0"/>
        </w:sectPr>
      </w:pPr>
    </w:p>
    <w:p w14:paraId="5471A800">
      <w:pPr>
        <w:pStyle w:val="2"/>
        <w:widowControl w:val="0"/>
        <w:spacing w:before="100" w:after="0" w:line="360" w:lineRule="auto"/>
        <w:jc w:val="both"/>
        <w:rPr>
          <w:rFonts w:ascii="Times New Roman" w:hAnsi="Times New Roman" w:eastAsia="宋体" w:cs="Times New Roman"/>
          <w:kern w:val="2"/>
          <w:sz w:val="28"/>
          <w:highlight w:val="none"/>
        </w:rPr>
      </w:pPr>
      <w:bookmarkStart w:id="3" w:name="_Toc501460596"/>
      <w:bookmarkStart w:id="4" w:name="_Toc6373"/>
      <w:bookmarkStart w:id="5" w:name="_Toc14455"/>
      <w:bookmarkStart w:id="6" w:name="_Toc3598"/>
      <w:r>
        <w:rPr>
          <w:rFonts w:ascii="Times New Roman" w:hAnsi="Times New Roman" w:eastAsia="宋体" w:cs="Times New Roman"/>
          <w:kern w:val="2"/>
          <w:sz w:val="28"/>
          <w:highlight w:val="none"/>
        </w:rPr>
        <w:t>附件</w:t>
      </w:r>
      <w:r>
        <w:rPr>
          <w:rFonts w:hint="eastAsia" w:ascii="Times New Roman" w:hAnsi="Times New Roman" w:eastAsia="宋体" w:cs="Times New Roman"/>
          <w:kern w:val="2"/>
          <w:sz w:val="28"/>
          <w:highlight w:val="none"/>
        </w:rPr>
        <w:t>2</w:t>
      </w:r>
      <w:r>
        <w:rPr>
          <w:rFonts w:ascii="Times New Roman" w:hAnsi="Times New Roman" w:eastAsia="宋体" w:cs="Times New Roman"/>
          <w:kern w:val="2"/>
          <w:sz w:val="28"/>
          <w:highlight w:val="none"/>
        </w:rPr>
        <w:t>：</w:t>
      </w:r>
      <w:bookmarkEnd w:id="3"/>
      <w:r>
        <w:rPr>
          <w:rFonts w:hint="eastAsia" w:ascii="Times New Roman" w:hAnsi="Times New Roman" w:eastAsia="宋体" w:cs="Times New Roman"/>
          <w:kern w:val="2"/>
          <w:sz w:val="28"/>
          <w:highlight w:val="none"/>
        </w:rPr>
        <w:t>支付方式</w:t>
      </w:r>
      <w:bookmarkEnd w:id="4"/>
      <w:bookmarkEnd w:id="5"/>
      <w:bookmarkEnd w:id="6"/>
    </w:p>
    <w:p w14:paraId="263481A9">
      <w:pPr>
        <w:widowControl/>
        <w:wordWrap w:val="0"/>
        <w:ind w:firstLine="420" w:firstLineChars="200"/>
        <w:jc w:val="left"/>
        <w:rPr>
          <w:rFonts w:ascii="宋体" w:hAnsi="宋体" w:cs="宋体"/>
          <w:szCs w:val="21"/>
          <w:highlight w:val="none"/>
        </w:rPr>
      </w:pPr>
    </w:p>
    <w:p w14:paraId="6861280D">
      <w:pPr>
        <w:widowControl/>
        <w:wordWrap w:val="0"/>
        <w:ind w:firstLine="420" w:firstLineChars="200"/>
        <w:jc w:val="left"/>
        <w:rPr>
          <w:rFonts w:hint="eastAsia" w:ascii="宋体" w:hAnsi="宋体" w:cs="宋体"/>
          <w:szCs w:val="21"/>
          <w:highlight w:val="none"/>
        </w:rPr>
      </w:pPr>
      <w:r>
        <w:rPr>
          <w:rFonts w:hint="eastAsia" w:ascii="宋体" w:hAnsi="宋体" w:cs="宋体"/>
          <w:szCs w:val="21"/>
          <w:highlight w:val="none"/>
        </w:rPr>
        <w:t>投标人须在招标文件发售期间通过中铁物总国际招标平台（https://bids.crmsc.com.cn/）完成汇款（具体缴费流程可咨询招标代理人员13161866075）。完成相应包件支付后，将“支付成功”界面的截图作为缴费凭证，上传至北京工程建设公共资源交易平台，通过北京工程建设公共资源交易平台下载招标文件（电子版）。</w:t>
      </w:r>
    </w:p>
    <w:p w14:paraId="0309148A">
      <w:pPr>
        <w:widowControl/>
        <w:wordWrap w:val="0"/>
        <w:ind w:firstLine="420" w:firstLineChars="200"/>
        <w:jc w:val="left"/>
        <w:rPr>
          <w:rFonts w:hint="default" w:ascii="宋体" w:hAnsi="宋体" w:eastAsia="宋体" w:cs="宋体"/>
          <w:szCs w:val="21"/>
          <w:highlight w:val="none"/>
          <w:lang w:val="en-US" w:eastAsia="zh-CN"/>
        </w:rPr>
      </w:pPr>
      <w:bookmarkStart w:id="8" w:name="_GoBack"/>
      <w:bookmarkEnd w:id="8"/>
      <w:r>
        <w:rPr>
          <w:rFonts w:hint="eastAsia" w:ascii="宋体" w:hAnsi="宋体" w:cs="宋体"/>
          <w:szCs w:val="21"/>
          <w:highlight w:val="none"/>
          <w:lang w:val="en-US" w:eastAsia="zh-CN"/>
        </w:rPr>
        <w:t>第一次购买过的投标人无需再次购买，直接上传第一次购买凭证即可。</w:t>
      </w:r>
    </w:p>
    <w:p w14:paraId="6EF390A9">
      <w:pPr>
        <w:widowControl/>
        <w:wordWrap w:val="0"/>
        <w:ind w:firstLine="420" w:firstLineChars="200"/>
        <w:jc w:val="left"/>
        <w:rPr>
          <w:rFonts w:ascii="宋体" w:hAnsi="宋体" w:cs="宋体"/>
          <w:szCs w:val="21"/>
          <w:highlight w:val="none"/>
        </w:rPr>
      </w:pPr>
    </w:p>
    <w:p w14:paraId="4C8F91A7">
      <w:pPr>
        <w:widowControl/>
        <w:jc w:val="left"/>
        <w:rPr>
          <w:rFonts w:ascii="宋体" w:hAnsi="宋体" w:cs="宋体"/>
          <w:szCs w:val="21"/>
          <w:highlight w:val="none"/>
        </w:rPr>
      </w:pPr>
    </w:p>
    <w:p w14:paraId="084BC607">
      <w:pPr>
        <w:widowControl/>
        <w:jc w:val="left"/>
        <w:rPr>
          <w:rFonts w:ascii="宋体" w:hAnsi="宋体" w:cs="宋体"/>
          <w:szCs w:val="21"/>
          <w:highlight w:val="none"/>
        </w:rPr>
      </w:pPr>
    </w:p>
    <w:p w14:paraId="41E45BD5">
      <w:pPr>
        <w:widowControl/>
        <w:ind w:leftChars="200"/>
        <w:jc w:val="left"/>
        <w:rPr>
          <w:rFonts w:ascii="宋体" w:hAnsi="宋体" w:cs="宋体"/>
          <w:szCs w:val="21"/>
          <w:highlight w:val="none"/>
        </w:rPr>
      </w:pPr>
      <w:r>
        <w:rPr>
          <w:rFonts w:hint="eastAsia" w:ascii="宋体" w:hAnsi="宋体" w:cs="宋体"/>
          <w:szCs w:val="21"/>
          <w:highlight w:val="none"/>
        </w:rPr>
        <w:t>代理机构：中铁物总国际招标有限公司</w:t>
      </w:r>
    </w:p>
    <w:p w14:paraId="59CF7416">
      <w:pPr>
        <w:widowControl/>
        <w:ind w:leftChars="200"/>
        <w:jc w:val="left"/>
        <w:rPr>
          <w:rFonts w:ascii="宋体" w:hAnsi="宋体" w:cs="宋体"/>
          <w:szCs w:val="21"/>
          <w:highlight w:val="none"/>
        </w:rPr>
      </w:pPr>
      <w:r>
        <w:rPr>
          <w:rFonts w:hint="eastAsia" w:ascii="宋体" w:hAnsi="宋体" w:cs="宋体"/>
          <w:szCs w:val="21"/>
          <w:highlight w:val="none"/>
        </w:rPr>
        <w:t>地  址：北京市丰台区凤凰嘴街鼎兴大厦A座11层</w:t>
      </w:r>
    </w:p>
    <w:p w14:paraId="2B9F97E7">
      <w:pPr>
        <w:widowControl/>
        <w:ind w:leftChars="200"/>
        <w:jc w:val="left"/>
        <w:rPr>
          <w:rFonts w:ascii="宋体" w:hAnsi="宋体" w:cs="宋体"/>
          <w:szCs w:val="21"/>
          <w:highlight w:val="none"/>
        </w:rPr>
      </w:pPr>
      <w:r>
        <w:rPr>
          <w:rFonts w:hint="eastAsia" w:ascii="宋体" w:hAnsi="宋体" w:cs="宋体"/>
          <w:szCs w:val="21"/>
          <w:highlight w:val="none"/>
        </w:rPr>
        <w:t>联系人：王思宇、刘宗凯</w:t>
      </w:r>
    </w:p>
    <w:p w14:paraId="568F362A">
      <w:pPr>
        <w:widowControl/>
        <w:ind w:leftChars="200"/>
        <w:jc w:val="left"/>
        <w:rPr>
          <w:rFonts w:ascii="宋体" w:hAnsi="宋体" w:cs="宋体"/>
          <w:szCs w:val="21"/>
          <w:highlight w:val="none"/>
        </w:rPr>
      </w:pPr>
      <w:r>
        <w:rPr>
          <w:rFonts w:hint="eastAsia" w:ascii="宋体" w:hAnsi="宋体" w:cs="宋体"/>
          <w:szCs w:val="21"/>
          <w:highlight w:val="none"/>
        </w:rPr>
        <w:t>电  话：13161866075、15131159711</w:t>
      </w:r>
    </w:p>
    <w:p w14:paraId="07579160">
      <w:pPr>
        <w:rPr>
          <w:rFonts w:hint="eastAsia" w:ascii="宋体" w:hAnsi="宋体" w:eastAsia="宋体" w:cs="宋体"/>
          <w:sz w:val="44"/>
          <w:szCs w:val="44"/>
          <w:highlight w:val="none"/>
        </w:rPr>
      </w:pPr>
      <w:bookmarkStart w:id="7" w:name="_Toc156913271"/>
      <w:r>
        <w:rPr>
          <w:rFonts w:hint="eastAsia" w:ascii="宋体" w:hAnsi="宋体" w:eastAsia="宋体" w:cs="宋体"/>
          <w:sz w:val="44"/>
          <w:szCs w:val="44"/>
          <w:highlight w:val="none"/>
        </w:rPr>
        <w:br w:type="page"/>
      </w:r>
    </w:p>
    <w:p w14:paraId="59A0E286">
      <w:pPr>
        <w:spacing w:line="600" w:lineRule="exact"/>
        <w:jc w:val="center"/>
        <w:rPr>
          <w:rFonts w:hint="eastAsia" w:ascii="宋体" w:hAnsi="宋体" w:eastAsia="宋体" w:cs="宋体"/>
          <w:sz w:val="44"/>
          <w:szCs w:val="44"/>
          <w:highlight w:val="none"/>
        </w:rPr>
      </w:pPr>
    </w:p>
    <w:p w14:paraId="00B3B9C3">
      <w:pPr>
        <w:spacing w:line="600" w:lineRule="exact"/>
        <w:jc w:val="center"/>
        <w:rPr>
          <w:rFonts w:hint="eastAsia" w:ascii="宋体" w:hAnsi="宋体" w:eastAsia="宋体" w:cs="宋体"/>
          <w:sz w:val="44"/>
          <w:szCs w:val="44"/>
          <w:highlight w:val="none"/>
        </w:rPr>
      </w:pPr>
      <w:r>
        <w:rPr>
          <w:rFonts w:hint="eastAsia" w:ascii="宋体" w:hAnsi="宋体" w:cs="宋体"/>
          <w:sz w:val="44"/>
          <w:szCs w:val="44"/>
          <w:highlight w:val="none"/>
          <w:lang w:eastAsia="zh-CN"/>
        </w:rPr>
        <w:t>北京铁路枢纽丰台站改建工程建管甲供物资2026年度第二批次（接触网）</w:t>
      </w:r>
      <w:r>
        <w:rPr>
          <w:rFonts w:hint="eastAsia" w:ascii="宋体" w:hAnsi="宋体" w:eastAsia="宋体" w:cs="宋体"/>
          <w:sz w:val="44"/>
          <w:szCs w:val="44"/>
          <w:highlight w:val="none"/>
        </w:rPr>
        <w:t>异议提出方式及主要内容</w:t>
      </w:r>
    </w:p>
    <w:p w14:paraId="337CED10">
      <w:pPr>
        <w:snapToGrid w:val="0"/>
        <w:spacing w:line="360" w:lineRule="auto"/>
        <w:rPr>
          <w:rFonts w:hint="eastAsia" w:ascii="仿宋_GB2312" w:hAnsi="仿宋" w:eastAsia="仿宋_GB2312" w:cs="仿宋"/>
          <w:sz w:val="28"/>
          <w:szCs w:val="28"/>
          <w:highlight w:val="none"/>
        </w:rPr>
      </w:pPr>
    </w:p>
    <w:p w14:paraId="3651228F">
      <w:pPr>
        <w:snapToGrid w:val="0"/>
        <w:spacing w:line="360" w:lineRule="auto"/>
        <w:ind w:left="567" w:leftChars="270"/>
        <w:rPr>
          <w:rFonts w:hint="eastAsia" w:ascii="仿宋_GB2312" w:hAnsi="仿宋" w:eastAsia="仿宋_GB2312" w:cs="仿宋"/>
          <w:sz w:val="28"/>
          <w:szCs w:val="28"/>
          <w:highlight w:val="none"/>
        </w:rPr>
      </w:pPr>
      <w:r>
        <w:rPr>
          <w:rFonts w:hint="eastAsia" w:ascii="仿宋_GB2312" w:hAnsi="仿宋" w:eastAsia="仿宋_GB2312" w:cs="仿宋"/>
          <w:spacing w:val="140"/>
          <w:kern w:val="0"/>
          <w:sz w:val="28"/>
          <w:szCs w:val="28"/>
          <w:highlight w:val="none"/>
          <w:fitText w:val="3080" w:id="432298123"/>
        </w:rPr>
        <w:t>招标异议地</w:t>
      </w:r>
      <w:r>
        <w:rPr>
          <w:rFonts w:hint="eastAsia" w:ascii="仿宋_GB2312" w:hAnsi="仿宋" w:eastAsia="仿宋_GB2312" w:cs="仿宋"/>
          <w:spacing w:val="0"/>
          <w:kern w:val="0"/>
          <w:sz w:val="28"/>
          <w:szCs w:val="28"/>
          <w:highlight w:val="none"/>
          <w:fitText w:val="3080" w:id="432298123"/>
        </w:rPr>
        <w:t>址</w:t>
      </w:r>
      <w:r>
        <w:rPr>
          <w:rFonts w:hint="eastAsia" w:ascii="仿宋_GB2312" w:hAnsi="仿宋" w:eastAsia="仿宋_GB2312" w:cs="仿宋"/>
          <w:sz w:val="28"/>
          <w:szCs w:val="28"/>
          <w:highlight w:val="none"/>
        </w:rPr>
        <w:t>：北京市大兴区清源西路永兴庄北公交站东100米</w:t>
      </w:r>
    </w:p>
    <w:p w14:paraId="47D470DB">
      <w:pPr>
        <w:snapToGrid w:val="0"/>
        <w:spacing w:line="360" w:lineRule="auto"/>
        <w:ind w:left="567" w:leftChars="270"/>
        <w:rPr>
          <w:rFonts w:hint="eastAsia" w:ascii="仿宋_GB2312" w:hAnsi="仿宋" w:eastAsia="仿宋_GB2312" w:cs="仿宋"/>
          <w:sz w:val="28"/>
          <w:szCs w:val="28"/>
          <w:highlight w:val="none"/>
          <w:lang w:eastAsia="zh-CN"/>
        </w:rPr>
      </w:pPr>
      <w:r>
        <w:rPr>
          <w:rFonts w:hint="eastAsia" w:ascii="仿宋_GB2312" w:hAnsi="仿宋" w:eastAsia="仿宋_GB2312" w:cs="仿宋"/>
          <w:spacing w:val="93"/>
          <w:kern w:val="0"/>
          <w:sz w:val="28"/>
          <w:szCs w:val="28"/>
          <w:highlight w:val="none"/>
          <w:fitText w:val="3080" w:id="1007633177"/>
        </w:rPr>
        <w:t>招标异议联系</w:t>
      </w:r>
      <w:r>
        <w:rPr>
          <w:rFonts w:hint="eastAsia" w:ascii="仿宋_GB2312" w:hAnsi="仿宋" w:eastAsia="仿宋_GB2312" w:cs="仿宋"/>
          <w:spacing w:val="2"/>
          <w:kern w:val="0"/>
          <w:sz w:val="28"/>
          <w:szCs w:val="28"/>
          <w:highlight w:val="none"/>
          <w:fitText w:val="3080" w:id="1007633177"/>
        </w:rPr>
        <w:t>人</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val="en-US" w:eastAsia="zh-CN"/>
        </w:rPr>
        <w:t>李玉凤</w:t>
      </w:r>
    </w:p>
    <w:p w14:paraId="1B6D105E">
      <w:pPr>
        <w:snapToGrid w:val="0"/>
        <w:spacing w:line="360" w:lineRule="auto"/>
        <w:ind w:left="567" w:leftChars="270"/>
        <w:rPr>
          <w:rFonts w:hint="eastAsia" w:ascii="仿宋_GB2312" w:hAnsi="仿宋" w:eastAsia="仿宋_GB2312" w:cs="仿宋"/>
          <w:sz w:val="28"/>
          <w:szCs w:val="28"/>
          <w:highlight w:val="none"/>
          <w:lang w:eastAsia="zh-CN"/>
        </w:rPr>
      </w:pPr>
      <w:r>
        <w:rPr>
          <w:rFonts w:hint="eastAsia" w:ascii="仿宋_GB2312" w:hAnsi="仿宋" w:eastAsia="仿宋_GB2312" w:cs="仿宋"/>
          <w:spacing w:val="140"/>
          <w:kern w:val="0"/>
          <w:sz w:val="28"/>
          <w:szCs w:val="28"/>
          <w:highlight w:val="none"/>
          <w:fitText w:val="3080" w:id="1253015166"/>
        </w:rPr>
        <w:t>招标异议电</w:t>
      </w:r>
      <w:r>
        <w:rPr>
          <w:rFonts w:hint="eastAsia" w:ascii="仿宋_GB2312" w:hAnsi="仿宋" w:eastAsia="仿宋_GB2312" w:cs="仿宋"/>
          <w:spacing w:val="0"/>
          <w:kern w:val="0"/>
          <w:sz w:val="28"/>
          <w:szCs w:val="28"/>
          <w:highlight w:val="none"/>
          <w:fitText w:val="3080" w:id="1253015166"/>
        </w:rPr>
        <w:t>话</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eastAsia="zh-CN"/>
        </w:rPr>
        <w:t>010</w:t>
      </w:r>
      <w:r>
        <w:rPr>
          <w:rFonts w:hint="eastAsia" w:ascii="仿宋_GB2312" w:hAnsi="仿宋" w:eastAsia="仿宋_GB2312" w:cs="仿宋"/>
          <w:sz w:val="28"/>
          <w:szCs w:val="28"/>
          <w:highlight w:val="none"/>
          <w:lang w:val="en-US" w:eastAsia="zh-CN"/>
        </w:rPr>
        <w:t>-</w:t>
      </w:r>
      <w:r>
        <w:rPr>
          <w:rFonts w:hint="eastAsia" w:ascii="仿宋_GB2312" w:hAnsi="仿宋" w:eastAsia="仿宋_GB2312" w:cs="仿宋"/>
          <w:sz w:val="28"/>
          <w:szCs w:val="28"/>
          <w:highlight w:val="none"/>
          <w:lang w:eastAsia="zh-CN"/>
        </w:rPr>
        <w:t>51822162</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eastAsia="zh-CN"/>
        </w:rPr>
        <w:t>13681182016</w:t>
      </w:r>
    </w:p>
    <w:p w14:paraId="32CB948A">
      <w:pPr>
        <w:snapToGrid w:val="0"/>
        <w:spacing w:line="360" w:lineRule="auto"/>
        <w:ind w:left="567" w:leftChars="270"/>
        <w:rPr>
          <w:rFonts w:hint="eastAsia" w:ascii="仿宋_GB2312" w:hAnsi="仿宋" w:eastAsia="仿宋_GB2312" w:cs="仿宋"/>
          <w:sz w:val="28"/>
          <w:szCs w:val="28"/>
          <w:highlight w:val="none"/>
        </w:rPr>
      </w:pPr>
      <w:r>
        <w:rPr>
          <w:rFonts w:hint="eastAsia" w:ascii="仿宋_GB2312" w:hAnsi="仿宋" w:eastAsia="仿宋_GB2312" w:cs="仿宋"/>
          <w:spacing w:val="7"/>
          <w:kern w:val="0"/>
          <w:sz w:val="28"/>
          <w:szCs w:val="28"/>
          <w:highlight w:val="none"/>
          <w:fitText w:val="3080" w:id="181344590"/>
        </w:rPr>
        <w:t>招标异议联系传真/邮</w:t>
      </w:r>
      <w:r>
        <w:rPr>
          <w:rFonts w:hint="eastAsia" w:ascii="仿宋_GB2312" w:hAnsi="仿宋" w:eastAsia="仿宋_GB2312" w:cs="仿宋"/>
          <w:spacing w:val="3"/>
          <w:kern w:val="0"/>
          <w:sz w:val="28"/>
          <w:szCs w:val="28"/>
          <w:highlight w:val="none"/>
          <w:fitText w:val="3080" w:id="181344590"/>
        </w:rPr>
        <w:t>箱</w:t>
      </w:r>
      <w:r>
        <w:rPr>
          <w:rFonts w:hint="eastAsia" w:ascii="仿宋_GB2312" w:hAnsi="仿宋" w:eastAsia="仿宋_GB2312" w:cs="仿宋"/>
          <w:sz w:val="28"/>
          <w:szCs w:val="28"/>
          <w:highlight w:val="none"/>
        </w:rPr>
        <w:t>：</w:t>
      </w:r>
      <w:r>
        <w:rPr>
          <w:rFonts w:hint="eastAsia" w:ascii="仿宋_GB2312" w:hAnsi="仿宋" w:eastAsia="仿宋_GB2312" w:cs="仿宋"/>
          <w:sz w:val="28"/>
          <w:szCs w:val="28"/>
          <w:highlight w:val="none"/>
          <w:lang w:val="en-US" w:eastAsia="zh-CN"/>
        </w:rPr>
        <w:t>ftsnwzb@126.com</w:t>
      </w:r>
    </w:p>
    <w:p w14:paraId="10118E11">
      <w:pPr>
        <w:snapToGrid w:val="0"/>
        <w:spacing w:line="360" w:lineRule="auto"/>
        <w:rPr>
          <w:rFonts w:ascii="仿宋_GB2312" w:hAnsi="仿宋" w:eastAsia="仿宋_GB2312" w:cs="仿宋"/>
          <w:sz w:val="28"/>
          <w:szCs w:val="28"/>
          <w:highlight w:val="none"/>
        </w:rPr>
      </w:pPr>
    </w:p>
    <w:p w14:paraId="3267E566">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异议函件应包括以下主要内容:</w:t>
      </w:r>
    </w:p>
    <w:p w14:paraId="0E233EB3">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（一）异议人的名称、地址、联系人及联系电话、电子邮箱等有效联系方式；</w:t>
      </w:r>
    </w:p>
    <w:p w14:paraId="5B062CF1">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（二）异议事项涉及的项目名称、基本事实及相关证明材料；</w:t>
      </w:r>
    </w:p>
    <w:p w14:paraId="7C5433F6">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（三）异议请求及主张；</w:t>
      </w:r>
    </w:p>
    <w:p w14:paraId="1667D6A7">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（四）异议人应提供与物资采购活动存在利害关系的证明材料；</w:t>
      </w:r>
    </w:p>
    <w:p w14:paraId="05C5E4D5">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（五）异议函件有关材料是外文的，异议人应同时提供其中文译本，并附相关的真实性证明；</w:t>
      </w:r>
    </w:p>
    <w:p w14:paraId="112574E1">
      <w:pPr>
        <w:snapToGrid w:val="0"/>
        <w:spacing w:line="360" w:lineRule="auto"/>
        <w:ind w:firstLine="560" w:firstLineChars="20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（六）异议人已向有关行政监督部门投诉并被受理的应一并说明。</w:t>
      </w:r>
    </w:p>
    <w:p w14:paraId="4E7D0A8C">
      <w:pPr>
        <w:snapToGrid w:val="0"/>
        <w:spacing w:line="360" w:lineRule="auto"/>
        <w:ind w:firstLine="560" w:firstLineChars="200"/>
      </w:pPr>
      <w:r>
        <w:rPr>
          <w:rFonts w:hint="eastAsia" w:ascii="仿宋_GB2312" w:hAnsi="仿宋" w:eastAsia="仿宋_GB2312" w:cs="仿宋"/>
          <w:sz w:val="28"/>
          <w:szCs w:val="28"/>
          <w:highlight w:val="none"/>
        </w:rPr>
        <w:t>异议人为法人或非法人组织的，异议函件需由其法定代表人(负责人)或授权代表签字，加盖单位公章，并附授权书、营业执照等证明文件复印件、法定代表人(负责人)和授权代表人的有效身份证明复印件。异议人为自然人的，异议函件必须由异议人本人签字，并附有效身份证明复印件。</w:t>
      </w:r>
      <w:bookmarkEnd w:id="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E1C5">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B22D0">
                          <w:pPr>
                            <w:pStyle w:val="5"/>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4B22D0">
                    <w:pPr>
                      <w:pStyle w:val="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C1A24">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B636D04">
                          <w:pPr>
                            <w:pStyle w:val="5"/>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4vdRNAAAAACAQAADwAAAAAAAAABACAAAAAiAAAAZHJzL2Rvd25yZXYueG1sUEsBAhQA&#10;FAAAAAgAh07iQKoV24r6AQAAAAQAAA4AAAAAAAAAAQAgAAAAHwEAAGRycy9lMm9Eb2MueG1sUEsF&#10;BgAAAAAGAAYAWQEAAIsFAAAAAA==&#10;">
              <v:fill on="f" focussize="0,0"/>
              <v:stroke on="f"/>
              <v:imagedata o:title=""/>
              <o:lock v:ext="edit" aspectratio="f"/>
              <v:textbox inset="0mm,0mm,0mm,0mm" style="mso-fit-shape-to-text:t;">
                <w:txbxContent>
                  <w:p w14:paraId="1B636D04">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7E7E79"/>
    <w:rsid w:val="3C7E7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1"/>
      <w:szCs w:val="22"/>
      <w:lang w:val="en-US" w:eastAsia="zh-CN" w:bidi="ar-SA"/>
    </w:rPr>
  </w:style>
  <w:style w:type="paragraph" w:styleId="2">
    <w:name w:val="heading 2"/>
    <w:basedOn w:val="1"/>
    <w:next w:val="1"/>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unhideWhenUsed/>
    <w:qFormat/>
    <w:uiPriority w:val="99"/>
    <w:pPr>
      <w:widowControl/>
      <w:spacing w:after="120"/>
      <w:jc w:val="left"/>
    </w:pPr>
    <w:rPr>
      <w:rFonts w:cs="Times New Roman"/>
      <w:kern w:val="0"/>
    </w:rPr>
  </w:style>
  <w:style w:type="paragraph" w:styleId="4">
    <w:name w:val="Block Text"/>
    <w:basedOn w:val="1"/>
    <w:next w:val="3"/>
    <w:qFormat/>
    <w:uiPriority w:val="0"/>
    <w:pPr>
      <w:adjustRightInd w:val="0"/>
      <w:jc w:val="left"/>
      <w:textAlignment w:val="baseline"/>
    </w:pPr>
    <w:rPr>
      <w:color w:val="000000"/>
      <w:kern w:val="0"/>
      <w:lang w:eastAsia="en-US" w:bidi="en-US"/>
    </w:rPr>
  </w:style>
  <w:style w:type="paragraph" w:styleId="5">
    <w:name w:val="footer"/>
    <w:basedOn w:val="1"/>
    <w:unhideWhenUsed/>
    <w:qFormat/>
    <w:uiPriority w:val="99"/>
    <w:pPr>
      <w:tabs>
        <w:tab w:val="center" w:pos="4153"/>
        <w:tab w:val="right" w:pos="8306"/>
      </w:tabs>
      <w:snapToGrid w:val="0"/>
      <w:spacing w:line="240" w:lineRule="auto"/>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2026-07-29T06:30:00Z</dcterms:created>
  <dc:creator>鹿唐圆</dc:creator>
  <cp:lastModifiedBy>鹿唐圆</cp:lastModifiedBy>
  <dcterms:modified xsi:type="dcterms:W3CDTF">2026-07-29T06:30:44Z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2727ED19E0C146DD8D067DD6013DE0DB_11</vt:lpwstr>
  </property>
  <property fmtid="{D5CDD505-2E9C-101B-9397-08002B2CF9AE}" pid="4" name="KSOTemplateDocerSaveRecord">
    <vt:lpwstr>eyJoZGlkIjoiMmRkOGMwMmUwOGNkMmUyMGM3ODhmMzkyNzNjYzkxNzciLCJ1c2VySWQiOiIyMzQ1MjUyNzAifQ==</vt:lpwstr>
  </property>
</Properties>
</file>